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5C81" w14:textId="0AB743FE" w:rsidR="000E79BB" w:rsidRPr="00377C9C" w:rsidRDefault="00F55DB8" w:rsidP="00F55DB8">
      <w:pPr>
        <w:jc w:val="center"/>
        <w:rPr>
          <w:rFonts w:ascii="Avenir Next" w:hAnsi="Avenir Next"/>
          <w:b/>
          <w:bCs/>
          <w:sz w:val="22"/>
          <w:szCs w:val="22"/>
        </w:rPr>
      </w:pPr>
      <w:r w:rsidRPr="00377C9C">
        <w:rPr>
          <w:rFonts w:ascii="Avenir Next" w:hAnsi="Avenir Next"/>
          <w:b/>
          <w:bCs/>
          <w:sz w:val="22"/>
          <w:szCs w:val="22"/>
        </w:rPr>
        <w:t xml:space="preserve">University of Utah </w:t>
      </w:r>
      <w:r w:rsidR="00377C9C" w:rsidRPr="00377C9C">
        <w:rPr>
          <w:rFonts w:ascii="Avenir Next" w:hAnsi="Avenir Next"/>
          <w:b/>
          <w:bCs/>
          <w:sz w:val="22"/>
          <w:szCs w:val="22"/>
        </w:rPr>
        <w:t>National Science Foundation</w:t>
      </w:r>
      <w:r w:rsidR="000E79BB" w:rsidRPr="00377C9C">
        <w:rPr>
          <w:rFonts w:ascii="Avenir Next" w:hAnsi="Avenir Next"/>
          <w:b/>
          <w:bCs/>
          <w:sz w:val="22"/>
          <w:szCs w:val="22"/>
        </w:rPr>
        <w:t xml:space="preserve"> (</w:t>
      </w:r>
      <w:r w:rsidR="00FD1EC1" w:rsidRPr="00377C9C">
        <w:rPr>
          <w:rFonts w:ascii="Avenir Next" w:hAnsi="Avenir Next"/>
          <w:b/>
          <w:bCs/>
          <w:sz w:val="22"/>
          <w:szCs w:val="22"/>
        </w:rPr>
        <w:t>N</w:t>
      </w:r>
      <w:r w:rsidR="00377C9C" w:rsidRPr="00377C9C">
        <w:rPr>
          <w:rFonts w:ascii="Avenir Next" w:hAnsi="Avenir Next"/>
          <w:b/>
          <w:bCs/>
          <w:sz w:val="22"/>
          <w:szCs w:val="22"/>
        </w:rPr>
        <w:t>SF</w:t>
      </w:r>
      <w:r w:rsidR="000E79BB" w:rsidRPr="00377C9C">
        <w:rPr>
          <w:rFonts w:ascii="Avenir Next" w:hAnsi="Avenir Next"/>
          <w:b/>
          <w:bCs/>
          <w:sz w:val="22"/>
          <w:szCs w:val="22"/>
        </w:rPr>
        <w:t>)</w:t>
      </w:r>
      <w:r w:rsidR="00FD1EC1" w:rsidRPr="00377C9C">
        <w:rPr>
          <w:rFonts w:ascii="Avenir Next" w:hAnsi="Avenir Next"/>
          <w:b/>
          <w:bCs/>
          <w:sz w:val="22"/>
          <w:szCs w:val="22"/>
        </w:rPr>
        <w:t xml:space="preserve"> </w:t>
      </w:r>
    </w:p>
    <w:p w14:paraId="11FB2088" w14:textId="1855DA73" w:rsidR="008B18A4" w:rsidRPr="00377C9C" w:rsidRDefault="00377C9C" w:rsidP="00F55DB8">
      <w:pPr>
        <w:jc w:val="center"/>
        <w:rPr>
          <w:rFonts w:ascii="Avenir Next" w:hAnsi="Avenir Next"/>
          <w:b/>
          <w:bCs/>
          <w:sz w:val="22"/>
          <w:szCs w:val="22"/>
        </w:rPr>
      </w:pPr>
      <w:r w:rsidRPr="00377C9C">
        <w:rPr>
          <w:rFonts w:ascii="Avenir Next" w:hAnsi="Avenir Next"/>
          <w:b/>
          <w:bCs/>
          <w:sz w:val="22"/>
          <w:szCs w:val="22"/>
        </w:rPr>
        <w:t>Broadening Participation Plan</w:t>
      </w:r>
      <w:r w:rsidR="00F55DB8" w:rsidRPr="00377C9C">
        <w:rPr>
          <w:rFonts w:ascii="Avenir Next" w:hAnsi="Avenir Next"/>
          <w:b/>
          <w:bCs/>
          <w:sz w:val="22"/>
          <w:szCs w:val="22"/>
        </w:rPr>
        <w:t xml:space="preserve"> Guide</w:t>
      </w:r>
    </w:p>
    <w:p w14:paraId="3C912309" w14:textId="20E0CABA" w:rsidR="00377C9C" w:rsidRDefault="00377C9C" w:rsidP="002A726F">
      <w:pPr>
        <w:pStyle w:val="NormalWeb"/>
        <w:shd w:val="clear" w:color="auto" w:fill="FFFFFF"/>
        <w:spacing w:before="0" w:beforeAutospacing="0"/>
        <w:rPr>
          <w:rFonts w:ascii="Avenir Next" w:hAnsi="Avenir Next" w:cs="Open Sans"/>
          <w:color w:val="1B1B1B"/>
          <w:sz w:val="22"/>
          <w:szCs w:val="22"/>
          <w:shd w:val="clear" w:color="auto" w:fill="FFFFFF"/>
        </w:rPr>
      </w:pPr>
      <w:r w:rsidRPr="00377C9C">
        <w:rPr>
          <w:rFonts w:ascii="Avenir Next" w:hAnsi="Avenir Next" w:cs="Open Sans"/>
          <w:b/>
          <w:bCs/>
          <w:color w:val="1B1B1B"/>
          <w:sz w:val="22"/>
          <w:szCs w:val="22"/>
          <w:shd w:val="clear" w:color="auto" w:fill="FFFFFF"/>
        </w:rPr>
        <w:br/>
      </w:r>
      <w:r w:rsidRPr="00377C9C">
        <w:rPr>
          <w:rFonts w:ascii="Avenir Next" w:hAnsi="Avenir Next" w:cs="Open Sans"/>
          <w:color w:val="1B1B1B"/>
          <w:sz w:val="22"/>
          <w:szCs w:val="22"/>
          <w:shd w:val="clear" w:color="auto" w:fill="FFFFFF"/>
        </w:rPr>
        <w:t>The Directorate for Engineering (ENG) promotes diversity in all aspects of its programs. In keeping with ENG's priority to broaden the participation of underrepresented groups in Engineering (see detailed definition below), the Office of Emerging Frontiers and Multidisciplinary Activities is addressing the need to enhance diversity in all fields of Engineering by </w:t>
      </w:r>
      <w:r w:rsidRPr="00377C9C">
        <w:rPr>
          <w:rStyle w:val="Strong"/>
          <w:rFonts w:ascii="Avenir Next" w:hAnsi="Avenir Next" w:cs="Open Sans"/>
          <w:color w:val="1B1B1B"/>
          <w:sz w:val="22"/>
          <w:szCs w:val="22"/>
          <w:shd w:val="clear" w:color="auto" w:fill="FFFFFF"/>
        </w:rPr>
        <w:t>requiring all EFRI projects to include a "Broadening Participation Plan" </w:t>
      </w:r>
      <w:r w:rsidRPr="00377C9C">
        <w:rPr>
          <w:rFonts w:ascii="Avenir Next" w:hAnsi="Avenir Next" w:cs="Open Sans"/>
          <w:color w:val="1B1B1B"/>
          <w:sz w:val="22"/>
          <w:szCs w:val="22"/>
          <w:shd w:val="clear" w:color="auto" w:fill="FFFFFF"/>
        </w:rPr>
        <w:t xml:space="preserve">as part of the </w:t>
      </w:r>
      <w:r>
        <w:rPr>
          <w:rFonts w:ascii="Avenir Next" w:hAnsi="Avenir Next" w:cs="Open Sans"/>
          <w:color w:val="1B1B1B"/>
          <w:sz w:val="22"/>
          <w:szCs w:val="22"/>
          <w:shd w:val="clear" w:color="auto" w:fill="FFFFFF"/>
        </w:rPr>
        <w:t>Emerging Frontiers in Research and Innovation (</w:t>
      </w:r>
      <w:r w:rsidRPr="00377C9C">
        <w:rPr>
          <w:rFonts w:ascii="Avenir Next" w:hAnsi="Avenir Next" w:cs="Open Sans"/>
          <w:color w:val="1B1B1B"/>
          <w:sz w:val="22"/>
          <w:szCs w:val="22"/>
          <w:shd w:val="clear" w:color="auto" w:fill="FFFFFF"/>
        </w:rPr>
        <w:t>EFRI</w:t>
      </w:r>
      <w:r>
        <w:rPr>
          <w:rFonts w:ascii="Avenir Next" w:hAnsi="Avenir Next" w:cs="Open Sans"/>
          <w:color w:val="1B1B1B"/>
          <w:sz w:val="22"/>
          <w:szCs w:val="22"/>
          <w:shd w:val="clear" w:color="auto" w:fill="FFFFFF"/>
        </w:rPr>
        <w:t>)</w:t>
      </w:r>
      <w:r w:rsidRPr="00377C9C">
        <w:rPr>
          <w:rFonts w:ascii="Avenir Next" w:hAnsi="Avenir Next" w:cs="Open Sans"/>
          <w:color w:val="1B1B1B"/>
          <w:sz w:val="22"/>
          <w:szCs w:val="22"/>
          <w:shd w:val="clear" w:color="auto" w:fill="FFFFFF"/>
        </w:rPr>
        <w:t xml:space="preserve"> 2022/23 Solicitation. </w:t>
      </w:r>
    </w:p>
    <w:p w14:paraId="5B12F74D" w14:textId="77777777" w:rsidR="00377C9C" w:rsidRDefault="00377C9C" w:rsidP="002A726F">
      <w:pPr>
        <w:pStyle w:val="NormalWeb"/>
        <w:shd w:val="clear" w:color="auto" w:fill="FFFFFF"/>
        <w:spacing w:before="0" w:beforeAutospacing="0"/>
        <w:rPr>
          <w:rFonts w:ascii="Avenir Next" w:hAnsi="Avenir Next" w:cs="Open Sans"/>
          <w:color w:val="1B1B1B"/>
          <w:sz w:val="22"/>
          <w:szCs w:val="22"/>
          <w:shd w:val="clear" w:color="auto" w:fill="FFFFFF"/>
        </w:rPr>
      </w:pPr>
      <w:r w:rsidRPr="00377C9C">
        <w:rPr>
          <w:rFonts w:ascii="Avenir Next" w:hAnsi="Avenir Next" w:cs="Open Sans"/>
          <w:color w:val="1B1B1B"/>
          <w:sz w:val="22"/>
          <w:szCs w:val="22"/>
          <w:shd w:val="clear" w:color="auto" w:fill="FFFFFF"/>
        </w:rPr>
        <w:t xml:space="preserve">One goal is to increase the participation of members of underrepresented groups in the field of engineering and in engineering research, such as women, persons with disabilities, and underrepresented minorities in science, technology, engineering, and mathematics (STEM). </w:t>
      </w:r>
    </w:p>
    <w:p w14:paraId="2EA04241" w14:textId="26F9DFFF" w:rsidR="00377C9C" w:rsidRPr="00377C9C" w:rsidRDefault="00377C9C" w:rsidP="002A726F">
      <w:pPr>
        <w:pStyle w:val="NormalWeb"/>
        <w:shd w:val="clear" w:color="auto" w:fill="FFFFFF"/>
        <w:spacing w:before="0" w:beforeAutospacing="0"/>
        <w:rPr>
          <w:rFonts w:ascii="Avenir Next" w:hAnsi="Avenir Next" w:cs="Open Sans"/>
          <w:color w:val="212529"/>
          <w:sz w:val="22"/>
          <w:szCs w:val="22"/>
        </w:rPr>
      </w:pPr>
      <w:r w:rsidRPr="00377C9C">
        <w:rPr>
          <w:rFonts w:ascii="Avenir Next" w:hAnsi="Avenir Next" w:cs="Open Sans"/>
          <w:color w:val="1B1B1B"/>
          <w:sz w:val="22"/>
          <w:szCs w:val="22"/>
          <w:shd w:val="clear" w:color="auto" w:fill="FFFFFF"/>
        </w:rPr>
        <w:t>This requirement will not only promote diversity in the human resources engaged in these EFRI projects but will also expand diversity of thought, ideas, and approaches brought together by EFRI in defining and solving important research questions.</w:t>
      </w:r>
    </w:p>
    <w:p w14:paraId="133F68F2" w14:textId="77777777" w:rsidR="00377C9C" w:rsidRDefault="00F55DB8" w:rsidP="00377C9C">
      <w:pPr>
        <w:pStyle w:val="NormalWeb"/>
        <w:shd w:val="clear" w:color="auto" w:fill="FFFFFF"/>
        <w:rPr>
          <w:rFonts w:ascii="Avenir Next" w:hAnsi="Avenir Next" w:cs="Open Sans"/>
          <w:color w:val="1B1B1B"/>
          <w:sz w:val="22"/>
          <w:szCs w:val="22"/>
        </w:rPr>
      </w:pPr>
      <w:r w:rsidRPr="00377C9C">
        <w:rPr>
          <w:rFonts w:ascii="Avenir Next" w:hAnsi="Avenir Next" w:cs="Open Sans"/>
          <w:b/>
          <w:bCs/>
          <w:color w:val="212529"/>
          <w:sz w:val="22"/>
          <w:szCs w:val="22"/>
        </w:rPr>
        <w:t>What is</w:t>
      </w:r>
      <w:r w:rsidR="00377C9C">
        <w:rPr>
          <w:rFonts w:ascii="Avenir Next" w:hAnsi="Avenir Next" w:cs="Open Sans"/>
          <w:b/>
          <w:bCs/>
          <w:color w:val="212529"/>
          <w:sz w:val="22"/>
          <w:szCs w:val="22"/>
        </w:rPr>
        <w:t xml:space="preserve"> a Broadening Participation Plan</w:t>
      </w:r>
      <w:r w:rsidRPr="00377C9C">
        <w:rPr>
          <w:rFonts w:ascii="Avenir Next" w:hAnsi="Avenir Next" w:cs="Open Sans"/>
          <w:b/>
          <w:bCs/>
          <w:color w:val="212529"/>
          <w:sz w:val="22"/>
          <w:szCs w:val="22"/>
        </w:rPr>
        <w:t>?</w:t>
      </w:r>
      <w:r w:rsidRPr="00377C9C">
        <w:rPr>
          <w:rFonts w:ascii="Avenir Next" w:hAnsi="Avenir Next" w:cs="Open Sans"/>
          <w:color w:val="212529"/>
          <w:sz w:val="22"/>
          <w:szCs w:val="22"/>
        </w:rPr>
        <w:br/>
      </w:r>
      <w:r w:rsidR="00377C9C" w:rsidRPr="002138EB">
        <w:rPr>
          <w:rStyle w:val="Strong"/>
          <w:rFonts w:ascii="Avenir Next" w:hAnsi="Avenir Next" w:cs="Open Sans"/>
          <w:b w:val="0"/>
          <w:bCs w:val="0"/>
          <w:color w:val="1B1B1B"/>
          <w:sz w:val="22"/>
          <w:szCs w:val="22"/>
        </w:rPr>
        <w:t>The Broadening Participation Plan</w:t>
      </w:r>
      <w:r w:rsidR="00377C9C" w:rsidRPr="00377C9C">
        <w:rPr>
          <w:rStyle w:val="Strong"/>
          <w:rFonts w:ascii="Avenir Next" w:hAnsi="Avenir Next" w:cs="Open Sans"/>
          <w:color w:val="1B1B1B"/>
          <w:sz w:val="22"/>
          <w:szCs w:val="22"/>
        </w:rPr>
        <w:t> </w:t>
      </w:r>
      <w:r w:rsidR="00377C9C" w:rsidRPr="00377C9C">
        <w:rPr>
          <w:rFonts w:ascii="Avenir Next" w:hAnsi="Avenir Next" w:cs="Open Sans"/>
          <w:color w:val="1B1B1B"/>
          <w:sz w:val="22"/>
          <w:szCs w:val="22"/>
        </w:rPr>
        <w:t xml:space="preserve">must be described as part of Broader Impacts of the proposal both in the Project Summary and in the Project Description. </w:t>
      </w:r>
    </w:p>
    <w:p w14:paraId="460EC644" w14:textId="77777777" w:rsidR="00377C9C" w:rsidRDefault="00377C9C" w:rsidP="00377C9C">
      <w:pPr>
        <w:pStyle w:val="NormalWeb"/>
        <w:shd w:val="clear" w:color="auto" w:fill="FFFFFF"/>
        <w:rPr>
          <w:rFonts w:ascii="Avenir Next" w:hAnsi="Avenir Next" w:cs="Open Sans"/>
          <w:color w:val="1B1B1B"/>
          <w:sz w:val="22"/>
          <w:szCs w:val="22"/>
        </w:rPr>
      </w:pPr>
      <w:r w:rsidRPr="00377C9C">
        <w:rPr>
          <w:rFonts w:ascii="Avenir Next" w:hAnsi="Avenir Next" w:cs="Open Sans"/>
          <w:color w:val="1B1B1B"/>
          <w:sz w:val="22"/>
          <w:szCs w:val="22"/>
        </w:rPr>
        <w:t xml:space="preserve">Proposers should include a preliminary version of the Broadening Participation Plan in their preliminary proposal and a detailed version in their full proposal (if invited to submit). </w:t>
      </w:r>
    </w:p>
    <w:p w14:paraId="46A88552" w14:textId="02A9C59D" w:rsidR="00377C9C" w:rsidRPr="00377C9C" w:rsidRDefault="00377C9C" w:rsidP="00377C9C">
      <w:pPr>
        <w:pStyle w:val="NormalWeb"/>
        <w:shd w:val="clear" w:color="auto" w:fill="FFFFFF"/>
        <w:rPr>
          <w:rFonts w:ascii="Avenir Next" w:hAnsi="Avenir Next" w:cs="Open Sans"/>
          <w:color w:val="1B1B1B"/>
          <w:sz w:val="22"/>
          <w:szCs w:val="22"/>
        </w:rPr>
      </w:pPr>
      <w:r w:rsidRPr="00377C9C">
        <w:rPr>
          <w:rFonts w:ascii="Avenir Next" w:hAnsi="Avenir Next" w:cs="Open Sans"/>
          <w:color w:val="1B1B1B"/>
          <w:sz w:val="22"/>
          <w:szCs w:val="22"/>
        </w:rPr>
        <w:t>The Plan may include, but is not limited to, any of the following menu of activities as appropriate for your project and the circumstances of your organization(s):</w:t>
      </w:r>
    </w:p>
    <w:p w14:paraId="4A0F87BC"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PI, Co-PI, or other SENIOR PERSONNEL - Inclusion of persons from underrepresented groups as PI, co-PI, and/or other senior personnel, as appropriate for the </w:t>
      </w:r>
      <w:proofErr w:type="gramStart"/>
      <w:r w:rsidRPr="00377C9C">
        <w:rPr>
          <w:rFonts w:ascii="Avenir Next" w:hAnsi="Avenir Next" w:cs="Open Sans"/>
          <w:color w:val="1B1B1B"/>
          <w:sz w:val="22"/>
          <w:szCs w:val="22"/>
        </w:rPr>
        <w:t>project;</w:t>
      </w:r>
      <w:proofErr w:type="gramEnd"/>
    </w:p>
    <w:p w14:paraId="50D7152E"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STUDENTS AND POST-DOCTORAL RESEARCHERS - Inclusion of persons from underrepresented groups as undergraduate student(s), graduate student(s), and post-doctoral researcher(s</w:t>
      </w:r>
      <w:proofErr w:type="gramStart"/>
      <w:r w:rsidRPr="00377C9C">
        <w:rPr>
          <w:rFonts w:ascii="Avenir Next" w:hAnsi="Avenir Next" w:cs="Open Sans"/>
          <w:color w:val="1B1B1B"/>
          <w:sz w:val="22"/>
          <w:szCs w:val="22"/>
        </w:rPr>
        <w:t>);</w:t>
      </w:r>
      <w:proofErr w:type="gramEnd"/>
    </w:p>
    <w:p w14:paraId="66547667"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RESEARCH EXPERIENCES FOR UNDERGRADUATES (REU) - A plan to apply for supplement(s) to engage undergraduate researchers, using </w:t>
      </w:r>
      <w:hyperlink r:id="rId5" w:history="1">
        <w:r w:rsidRPr="00377C9C">
          <w:rPr>
            <w:rStyle w:val="Hyperlink"/>
            <w:rFonts w:ascii="Avenir Next" w:hAnsi="Avenir Next" w:cs="Open Sans"/>
            <w:color w:val="0076D6"/>
            <w:sz w:val="22"/>
            <w:szCs w:val="22"/>
          </w:rPr>
          <w:t>REU</w:t>
        </w:r>
      </w:hyperlink>
      <w:r w:rsidRPr="00377C9C">
        <w:rPr>
          <w:rFonts w:ascii="Avenir Next" w:hAnsi="Avenir Next" w:cs="Open Sans"/>
          <w:color w:val="1B1B1B"/>
          <w:sz w:val="22"/>
          <w:szCs w:val="22"/>
        </w:rPr>
        <w:t> supplement(s);</w:t>
      </w:r>
    </w:p>
    <w:p w14:paraId="514F2E73"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RESEARCH EXPERIENCE AND MENTORING (EFRI-REM) - A plan to apply for post-award supplement(s) to enhance research goals through diversification of the EFRI research </w:t>
      </w:r>
      <w:proofErr w:type="gramStart"/>
      <w:r w:rsidRPr="00377C9C">
        <w:rPr>
          <w:rFonts w:ascii="Avenir Next" w:hAnsi="Avenir Next" w:cs="Open Sans"/>
          <w:color w:val="1B1B1B"/>
          <w:sz w:val="22"/>
          <w:szCs w:val="22"/>
        </w:rPr>
        <w:t>teams;</w:t>
      </w:r>
      <w:proofErr w:type="gramEnd"/>
    </w:p>
    <w:p w14:paraId="65B5D43B" w14:textId="022E3064"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MINORITY-SERVING INSTITUTIONS - Inclusion of faculty at minority-serving institutions (MSIs) as PI, co</w:t>
      </w:r>
      <w:r>
        <w:rPr>
          <w:rFonts w:ascii="Avenir Next" w:hAnsi="Avenir Next" w:cs="Open Sans"/>
          <w:color w:val="1B1B1B"/>
          <w:sz w:val="22"/>
          <w:szCs w:val="22"/>
        </w:rPr>
        <w:t>-</w:t>
      </w:r>
      <w:r w:rsidRPr="00377C9C">
        <w:rPr>
          <w:rFonts w:ascii="Avenir Next" w:hAnsi="Avenir Next" w:cs="Open Sans"/>
          <w:color w:val="1B1B1B"/>
          <w:sz w:val="22"/>
          <w:szCs w:val="22"/>
        </w:rPr>
        <w:t xml:space="preserve">PI, or senior personnel, and/or student researchers from MSIs in the research </w:t>
      </w:r>
      <w:proofErr w:type="gramStart"/>
      <w:r w:rsidRPr="00377C9C">
        <w:rPr>
          <w:rFonts w:ascii="Avenir Next" w:hAnsi="Avenir Next" w:cs="Open Sans"/>
          <w:color w:val="1B1B1B"/>
          <w:sz w:val="22"/>
          <w:szCs w:val="22"/>
        </w:rPr>
        <w:t>project;</w:t>
      </w:r>
      <w:proofErr w:type="gramEnd"/>
    </w:p>
    <w:p w14:paraId="0B9BCF34"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lastRenderedPageBreak/>
        <w:t xml:space="preserve">COMMUNITY COLLEGES - Engaging faculty and/or student researchers at community colleges in the research </w:t>
      </w:r>
      <w:proofErr w:type="gramStart"/>
      <w:r w:rsidRPr="00377C9C">
        <w:rPr>
          <w:rFonts w:ascii="Avenir Next" w:hAnsi="Avenir Next" w:cs="Open Sans"/>
          <w:color w:val="1B1B1B"/>
          <w:sz w:val="22"/>
          <w:szCs w:val="22"/>
        </w:rPr>
        <w:t>project;</w:t>
      </w:r>
      <w:proofErr w:type="gramEnd"/>
    </w:p>
    <w:p w14:paraId="7368A35A"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RESEARCH EXPERIENCES FOR TEACHERS (RET) - A plan to apply for post-award supplement(s) to engage teachers and/or Community College Faculty through the </w:t>
      </w:r>
      <w:hyperlink r:id="rId6" w:history="1">
        <w:r w:rsidRPr="00377C9C">
          <w:rPr>
            <w:rStyle w:val="Hyperlink"/>
            <w:rFonts w:ascii="Avenir Next" w:hAnsi="Avenir Next" w:cs="Open Sans"/>
            <w:color w:val="0076D6"/>
            <w:sz w:val="22"/>
            <w:szCs w:val="22"/>
          </w:rPr>
          <w:t>RET</w:t>
        </w:r>
      </w:hyperlink>
      <w:r w:rsidRPr="00377C9C">
        <w:rPr>
          <w:rFonts w:ascii="Avenir Next" w:hAnsi="Avenir Next" w:cs="Open Sans"/>
          <w:color w:val="1B1B1B"/>
          <w:sz w:val="22"/>
          <w:szCs w:val="22"/>
        </w:rPr>
        <w:t> program;</w:t>
      </w:r>
    </w:p>
    <w:p w14:paraId="104FAD02"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RESEARCH EXPERIENCES FOR HIGH SCHOOL STUDENTS - Provide research opportunities for members of underrepresented groups at the high school </w:t>
      </w:r>
      <w:proofErr w:type="gramStart"/>
      <w:r w:rsidRPr="00377C9C">
        <w:rPr>
          <w:rFonts w:ascii="Avenir Next" w:hAnsi="Avenir Next" w:cs="Open Sans"/>
          <w:color w:val="1B1B1B"/>
          <w:sz w:val="22"/>
          <w:szCs w:val="22"/>
        </w:rPr>
        <w:t>level;</w:t>
      </w:r>
      <w:proofErr w:type="gramEnd"/>
    </w:p>
    <w:p w14:paraId="5BACDC33"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RESEARCH EXPERIENCES FOR VETERANS - A plan to apply for post-award supplement(s) to engage veterans through the </w:t>
      </w:r>
      <w:hyperlink r:id="rId7" w:history="1">
        <w:r w:rsidRPr="00377C9C">
          <w:rPr>
            <w:rStyle w:val="Hyperlink"/>
            <w:rFonts w:ascii="Avenir Next" w:hAnsi="Avenir Next" w:cs="Open Sans"/>
            <w:color w:val="0076D6"/>
            <w:sz w:val="22"/>
            <w:szCs w:val="22"/>
          </w:rPr>
          <w:t>Research Experience and Mentoring</w:t>
        </w:r>
      </w:hyperlink>
      <w:r w:rsidRPr="00377C9C">
        <w:rPr>
          <w:rFonts w:ascii="Avenir Next" w:hAnsi="Avenir Next" w:cs="Open Sans"/>
          <w:color w:val="1B1B1B"/>
          <w:sz w:val="22"/>
          <w:szCs w:val="22"/>
        </w:rPr>
        <w:t> (REM) or </w:t>
      </w:r>
      <w:hyperlink r:id="rId8" w:history="1">
        <w:r w:rsidRPr="00377C9C">
          <w:rPr>
            <w:rStyle w:val="Hyperlink"/>
            <w:rFonts w:ascii="Avenir Next" w:hAnsi="Avenir Next" w:cs="Open Sans"/>
            <w:color w:val="0076D6"/>
            <w:sz w:val="22"/>
            <w:szCs w:val="22"/>
          </w:rPr>
          <w:t>Veterans Research Supplement</w:t>
        </w:r>
      </w:hyperlink>
      <w:r w:rsidRPr="00377C9C">
        <w:rPr>
          <w:rFonts w:ascii="Avenir Next" w:hAnsi="Avenir Next" w:cs="Open Sans"/>
          <w:color w:val="1B1B1B"/>
          <w:sz w:val="22"/>
          <w:szCs w:val="22"/>
        </w:rPr>
        <w:t> (VRS) programs;</w:t>
      </w:r>
    </w:p>
    <w:p w14:paraId="11886C65"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EXISTING INSTITUTIONAL PROGRAMS - Enhance/collaborate with existing diversity programs at your home organization and/or nearby </w:t>
      </w:r>
      <w:proofErr w:type="gramStart"/>
      <w:r w:rsidRPr="00377C9C">
        <w:rPr>
          <w:rFonts w:ascii="Avenir Next" w:hAnsi="Avenir Next" w:cs="Open Sans"/>
          <w:color w:val="1B1B1B"/>
          <w:sz w:val="22"/>
          <w:szCs w:val="22"/>
        </w:rPr>
        <w:t>organizations;</w:t>
      </w:r>
      <w:proofErr w:type="gramEnd"/>
    </w:p>
    <w:p w14:paraId="39B30654"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MENTORING - Senior Personnel serve as role models and mentors for an underrepresented student </w:t>
      </w:r>
      <w:proofErr w:type="gramStart"/>
      <w:r w:rsidRPr="00377C9C">
        <w:rPr>
          <w:rFonts w:ascii="Avenir Next" w:hAnsi="Avenir Next" w:cs="Open Sans"/>
          <w:color w:val="1B1B1B"/>
          <w:sz w:val="22"/>
          <w:szCs w:val="22"/>
        </w:rPr>
        <w:t>population;</w:t>
      </w:r>
      <w:proofErr w:type="gramEnd"/>
    </w:p>
    <w:p w14:paraId="2406A1BA"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 xml:space="preserve">TUTORING OPPORTUNITIES - Provide tutoring opportunities for underrepresented middle school, high school, and undergraduate </w:t>
      </w:r>
      <w:proofErr w:type="gramStart"/>
      <w:r w:rsidRPr="00377C9C">
        <w:rPr>
          <w:rFonts w:ascii="Avenir Next" w:hAnsi="Avenir Next" w:cs="Open Sans"/>
          <w:color w:val="1B1B1B"/>
          <w:sz w:val="22"/>
          <w:szCs w:val="22"/>
        </w:rPr>
        <w:t>students;</w:t>
      </w:r>
      <w:proofErr w:type="gramEnd"/>
    </w:p>
    <w:p w14:paraId="2D7734EA" w14:textId="77777777" w:rsidR="00377C9C" w:rsidRPr="00377C9C" w:rsidRDefault="00377C9C" w:rsidP="00377C9C">
      <w:pPr>
        <w:numPr>
          <w:ilvl w:val="0"/>
          <w:numId w:val="4"/>
        </w:numPr>
        <w:shd w:val="clear" w:color="auto" w:fill="FFFFFF"/>
        <w:spacing w:before="100" w:beforeAutospacing="1" w:after="100" w:afterAutospacing="1"/>
        <w:rPr>
          <w:rFonts w:ascii="Avenir Next" w:hAnsi="Avenir Next" w:cs="Open Sans"/>
          <w:color w:val="1B1B1B"/>
          <w:sz w:val="22"/>
          <w:szCs w:val="22"/>
        </w:rPr>
      </w:pPr>
      <w:r w:rsidRPr="00377C9C">
        <w:rPr>
          <w:rFonts w:ascii="Avenir Next" w:hAnsi="Avenir Next" w:cs="Open Sans"/>
          <w:color w:val="1B1B1B"/>
          <w:sz w:val="22"/>
          <w:szCs w:val="22"/>
        </w:rPr>
        <w:t>K-12 OUTREACH - Outreach activities that will interest and attract underrepresented K-12 students to engineering undergraduate programs.</w:t>
      </w:r>
    </w:p>
    <w:p w14:paraId="5135AE67" w14:textId="44202DC4" w:rsidR="00377C9C" w:rsidRPr="003E6524" w:rsidRDefault="003E6524" w:rsidP="00377C9C">
      <w:pPr>
        <w:pStyle w:val="NormalWeb"/>
        <w:shd w:val="clear" w:color="auto" w:fill="FFFFFF"/>
        <w:rPr>
          <w:rFonts w:ascii="Avenir Next" w:hAnsi="Avenir Next" w:cs="Open Sans"/>
          <w:color w:val="1B1B1B"/>
          <w:sz w:val="22"/>
          <w:szCs w:val="22"/>
        </w:rPr>
      </w:pPr>
      <w:r>
        <w:rPr>
          <w:rFonts w:ascii="Avenir Next" w:hAnsi="Avenir Next" w:cs="Open Sans"/>
          <w:color w:val="1B1B1B"/>
          <w:sz w:val="22"/>
          <w:szCs w:val="22"/>
        </w:rPr>
        <w:t>NSF</w:t>
      </w:r>
      <w:r w:rsidR="00377C9C" w:rsidRPr="00377C9C">
        <w:rPr>
          <w:rFonts w:ascii="Avenir Next" w:hAnsi="Avenir Next" w:cs="Open Sans"/>
          <w:color w:val="1B1B1B"/>
          <w:sz w:val="22"/>
          <w:szCs w:val="22"/>
        </w:rPr>
        <w:t xml:space="preserve"> encourages proposers to be creative in the planning of activities to attract and retain members of underrepresented groups to the fields of engineering and engineering research </w:t>
      </w:r>
      <w:r w:rsidR="00377C9C" w:rsidRPr="003E6524">
        <w:rPr>
          <w:rFonts w:ascii="Avenir Next" w:hAnsi="Avenir Next" w:cs="Open Sans"/>
          <w:color w:val="1B1B1B"/>
          <w:sz w:val="22"/>
          <w:szCs w:val="22"/>
        </w:rPr>
        <w:t>when developing their Broadening Participation Plans.</w:t>
      </w:r>
    </w:p>
    <w:p w14:paraId="483DFCE3" w14:textId="78C344D4" w:rsidR="003E6524" w:rsidRPr="003E6524" w:rsidRDefault="003E6524" w:rsidP="003E6524">
      <w:pPr>
        <w:pStyle w:val="Heading5"/>
        <w:shd w:val="clear" w:color="auto" w:fill="FFFFFF"/>
        <w:rPr>
          <w:rFonts w:ascii="Avenir Next" w:hAnsi="Avenir Next" w:cs="Arial"/>
          <w:color w:val="33414E"/>
          <w:sz w:val="22"/>
          <w:szCs w:val="22"/>
        </w:rPr>
      </w:pPr>
      <w:r w:rsidRPr="003E6524">
        <w:rPr>
          <w:rStyle w:val="Strong"/>
          <w:rFonts w:ascii="Avenir Next" w:hAnsi="Avenir Next" w:cs="Arial"/>
          <w:b/>
          <w:bCs/>
          <w:color w:val="33414E"/>
          <w:sz w:val="22"/>
          <w:szCs w:val="22"/>
        </w:rPr>
        <w:t>National Science Foundation</w:t>
      </w:r>
      <w:r>
        <w:rPr>
          <w:rStyle w:val="Strong"/>
          <w:rFonts w:ascii="Avenir Next" w:hAnsi="Avenir Next" w:cs="Arial"/>
          <w:b/>
          <w:bCs/>
          <w:color w:val="33414E"/>
          <w:sz w:val="22"/>
          <w:szCs w:val="22"/>
        </w:rPr>
        <w:t xml:space="preserve"> DEI Resources:</w:t>
      </w:r>
    </w:p>
    <w:p w14:paraId="0D1B7B51" w14:textId="77777777" w:rsidR="003E6524" w:rsidRPr="003E6524" w:rsidRDefault="003E6524" w:rsidP="003E6524">
      <w:pPr>
        <w:numPr>
          <w:ilvl w:val="0"/>
          <w:numId w:val="5"/>
        </w:numPr>
        <w:shd w:val="clear" w:color="auto" w:fill="FFFFFF"/>
        <w:spacing w:before="100" w:beforeAutospacing="1" w:after="150"/>
        <w:rPr>
          <w:rFonts w:ascii="Avenir Next" w:hAnsi="Avenir Next" w:cs="Arial"/>
          <w:color w:val="33414E"/>
          <w:sz w:val="22"/>
          <w:szCs w:val="22"/>
        </w:rPr>
      </w:pPr>
      <w:hyperlink r:id="rId9" w:anchor=":~:text=%E2%97%8F%20Additional%20resources-,What%20are%20broader%20impacts%3F,of%20specific%2C%20desired%20societal%20outcomes." w:history="1">
        <w:r w:rsidRPr="003E6524">
          <w:rPr>
            <w:rStyle w:val="Hyperlink"/>
            <w:rFonts w:ascii="Avenir Next" w:hAnsi="Avenir Next" w:cs="Arial"/>
            <w:color w:val="33414E"/>
            <w:sz w:val="22"/>
            <w:szCs w:val="22"/>
          </w:rPr>
          <w:t>Broader </w:t>
        </w:r>
        <w:r w:rsidRPr="003E6524">
          <w:rPr>
            <w:rStyle w:val="extlink-nobreak"/>
            <w:rFonts w:ascii="Avenir Next" w:hAnsi="Avenir Next" w:cs="Arial"/>
            <w:color w:val="33414E"/>
            <w:sz w:val="22"/>
            <w:szCs w:val="22"/>
          </w:rPr>
          <w:t>Impacts</w:t>
        </w:r>
      </w:hyperlink>
    </w:p>
    <w:p w14:paraId="725686A6" w14:textId="77777777" w:rsidR="003E6524" w:rsidRPr="003E6524" w:rsidRDefault="003E6524" w:rsidP="003E6524">
      <w:pPr>
        <w:numPr>
          <w:ilvl w:val="1"/>
          <w:numId w:val="5"/>
        </w:numPr>
        <w:shd w:val="clear" w:color="auto" w:fill="FFFFFF"/>
        <w:spacing w:before="100" w:beforeAutospacing="1" w:after="150"/>
        <w:rPr>
          <w:rFonts w:ascii="Avenir Next" w:hAnsi="Avenir Next" w:cs="Arial"/>
          <w:color w:val="33414E"/>
          <w:sz w:val="22"/>
          <w:szCs w:val="22"/>
        </w:rPr>
      </w:pPr>
      <w:hyperlink r:id="rId10" w:history="1">
        <w:r w:rsidRPr="003E6524">
          <w:rPr>
            <w:rStyle w:val="Hyperlink"/>
            <w:rFonts w:ascii="Avenir Next" w:hAnsi="Avenir Next" w:cs="Arial"/>
            <w:color w:val="33414E"/>
            <w:sz w:val="22"/>
            <w:szCs w:val="22"/>
          </w:rPr>
          <w:t>NSF 101: Five tips for your Broader Impacts </w:t>
        </w:r>
        <w:r w:rsidRPr="003E6524">
          <w:rPr>
            <w:rStyle w:val="extlink-nobreak"/>
            <w:rFonts w:ascii="Avenir Next" w:hAnsi="Avenir Next" w:cs="Arial"/>
            <w:color w:val="33414E"/>
            <w:sz w:val="22"/>
            <w:szCs w:val="22"/>
          </w:rPr>
          <w:t>statement</w:t>
        </w:r>
      </w:hyperlink>
    </w:p>
    <w:p w14:paraId="7C787F4B" w14:textId="77777777" w:rsidR="003E6524" w:rsidRPr="003E6524" w:rsidRDefault="003E6524" w:rsidP="003E6524">
      <w:pPr>
        <w:numPr>
          <w:ilvl w:val="0"/>
          <w:numId w:val="5"/>
        </w:numPr>
        <w:shd w:val="clear" w:color="auto" w:fill="FFFFFF"/>
        <w:spacing w:before="100" w:beforeAutospacing="1" w:after="150"/>
        <w:rPr>
          <w:rFonts w:ascii="Avenir Next" w:hAnsi="Avenir Next" w:cs="Arial"/>
          <w:color w:val="33414E"/>
          <w:sz w:val="22"/>
          <w:szCs w:val="22"/>
        </w:rPr>
      </w:pPr>
      <w:hyperlink r:id="rId11" w:history="1">
        <w:r w:rsidRPr="003E6524">
          <w:rPr>
            <w:rStyle w:val="Hyperlink"/>
            <w:rFonts w:ascii="Avenir Next" w:hAnsi="Avenir Next" w:cs="Arial"/>
            <w:color w:val="33414E"/>
            <w:sz w:val="22"/>
            <w:szCs w:val="22"/>
          </w:rPr>
          <w:t>Broadening Participation in </w:t>
        </w:r>
        <w:r w:rsidRPr="003E6524">
          <w:rPr>
            <w:rStyle w:val="extlink-nobreak"/>
            <w:rFonts w:ascii="Avenir Next" w:hAnsi="Avenir Next" w:cs="Arial"/>
            <w:color w:val="33414E"/>
            <w:sz w:val="22"/>
            <w:szCs w:val="22"/>
          </w:rPr>
          <w:t>STEM</w:t>
        </w:r>
      </w:hyperlink>
    </w:p>
    <w:p w14:paraId="35B85D27" w14:textId="77777777" w:rsidR="003E6524" w:rsidRPr="003E6524" w:rsidRDefault="003E6524" w:rsidP="003E6524">
      <w:pPr>
        <w:numPr>
          <w:ilvl w:val="1"/>
          <w:numId w:val="5"/>
        </w:numPr>
        <w:shd w:val="clear" w:color="auto" w:fill="FFFFFF"/>
        <w:spacing w:before="100" w:beforeAutospacing="1" w:after="150"/>
        <w:rPr>
          <w:rFonts w:ascii="Avenir Next" w:hAnsi="Avenir Next" w:cs="Arial"/>
          <w:color w:val="33414E"/>
          <w:sz w:val="22"/>
          <w:szCs w:val="22"/>
        </w:rPr>
      </w:pPr>
      <w:hyperlink r:id="rId12" w:history="1">
        <w:r w:rsidRPr="003E6524">
          <w:rPr>
            <w:rStyle w:val="Hyperlink"/>
            <w:rFonts w:ascii="Avenir Next" w:hAnsi="Avenir Next" w:cs="Arial"/>
            <w:color w:val="33414E"/>
            <w:sz w:val="22"/>
            <w:szCs w:val="22"/>
          </w:rPr>
          <w:t>Broadening Participation in </w:t>
        </w:r>
        <w:r w:rsidRPr="003E6524">
          <w:rPr>
            <w:rStyle w:val="extlink-nobreak"/>
            <w:rFonts w:ascii="Avenir Next" w:hAnsi="Avenir Next" w:cs="Arial"/>
            <w:color w:val="33414E"/>
            <w:sz w:val="22"/>
            <w:szCs w:val="22"/>
          </w:rPr>
          <w:t>Computing</w:t>
        </w:r>
      </w:hyperlink>
    </w:p>
    <w:p w14:paraId="7CDA7336" w14:textId="77777777" w:rsidR="003E6524" w:rsidRPr="003E6524" w:rsidRDefault="003E6524" w:rsidP="003E6524">
      <w:pPr>
        <w:numPr>
          <w:ilvl w:val="1"/>
          <w:numId w:val="5"/>
        </w:numPr>
        <w:shd w:val="clear" w:color="auto" w:fill="FFFFFF"/>
        <w:spacing w:before="100" w:beforeAutospacing="1" w:after="150"/>
        <w:rPr>
          <w:rFonts w:ascii="Avenir Next" w:hAnsi="Avenir Next" w:cs="Arial"/>
          <w:color w:val="33414E"/>
          <w:sz w:val="22"/>
          <w:szCs w:val="22"/>
        </w:rPr>
      </w:pPr>
      <w:hyperlink r:id="rId13" w:history="1">
        <w:proofErr w:type="spellStart"/>
        <w:r w:rsidRPr="003E6524">
          <w:rPr>
            <w:rStyle w:val="Hyperlink"/>
            <w:rFonts w:ascii="Avenir Next" w:hAnsi="Avenir Next" w:cs="Arial"/>
            <w:color w:val="33414E"/>
            <w:sz w:val="22"/>
            <w:szCs w:val="22"/>
          </w:rPr>
          <w:t>BPCnet</w:t>
        </w:r>
        <w:proofErr w:type="spellEnd"/>
        <w:r w:rsidRPr="003E6524">
          <w:rPr>
            <w:rStyle w:val="Hyperlink"/>
            <w:rFonts w:ascii="Avenir Next" w:hAnsi="Avenir Next" w:cs="Arial"/>
            <w:color w:val="33414E"/>
            <w:sz w:val="22"/>
            <w:szCs w:val="22"/>
          </w:rPr>
          <w:t xml:space="preserve"> Resource </w:t>
        </w:r>
        <w:r w:rsidRPr="003E6524">
          <w:rPr>
            <w:rStyle w:val="extlink-nobreak"/>
            <w:rFonts w:ascii="Avenir Next" w:hAnsi="Avenir Next" w:cs="Arial"/>
            <w:color w:val="33414E"/>
            <w:sz w:val="22"/>
            <w:szCs w:val="22"/>
          </w:rPr>
          <w:t>Portal</w:t>
        </w:r>
      </w:hyperlink>
    </w:p>
    <w:p w14:paraId="6382DAD9" w14:textId="77777777" w:rsidR="003E6524" w:rsidRPr="003E6524" w:rsidRDefault="003E6524" w:rsidP="003E6524">
      <w:pPr>
        <w:numPr>
          <w:ilvl w:val="1"/>
          <w:numId w:val="5"/>
        </w:numPr>
        <w:shd w:val="clear" w:color="auto" w:fill="FFFFFF"/>
        <w:spacing w:before="100" w:beforeAutospacing="1" w:after="150"/>
        <w:rPr>
          <w:rFonts w:ascii="Avenir Next" w:hAnsi="Avenir Next" w:cs="Arial"/>
          <w:color w:val="33414E"/>
          <w:sz w:val="22"/>
          <w:szCs w:val="22"/>
        </w:rPr>
      </w:pPr>
      <w:hyperlink r:id="rId14" w:history="1">
        <w:r w:rsidRPr="003E6524">
          <w:rPr>
            <w:rStyle w:val="Hyperlink"/>
            <w:rFonts w:ascii="Avenir Next" w:hAnsi="Avenir Next" w:cs="Arial"/>
            <w:color w:val="33414E"/>
            <w:sz w:val="22"/>
            <w:szCs w:val="22"/>
          </w:rPr>
          <w:t>Diversity, Equity, and Inclusion in </w:t>
        </w:r>
        <w:r w:rsidRPr="003E6524">
          <w:rPr>
            <w:rStyle w:val="extlink-nobreak"/>
            <w:rFonts w:ascii="Avenir Next" w:hAnsi="Avenir Next" w:cs="Arial"/>
            <w:color w:val="33414E"/>
            <w:sz w:val="22"/>
            <w:szCs w:val="22"/>
          </w:rPr>
          <w:t>Engineering</w:t>
        </w:r>
      </w:hyperlink>
    </w:p>
    <w:p w14:paraId="2E1296D1" w14:textId="77777777" w:rsidR="003E6524" w:rsidRPr="003E6524" w:rsidRDefault="003E6524" w:rsidP="003E6524">
      <w:pPr>
        <w:numPr>
          <w:ilvl w:val="1"/>
          <w:numId w:val="5"/>
        </w:numPr>
        <w:shd w:val="clear" w:color="auto" w:fill="FFFFFF"/>
        <w:spacing w:before="100" w:beforeAutospacing="1" w:after="150"/>
        <w:rPr>
          <w:rFonts w:ascii="Avenir Next" w:hAnsi="Avenir Next" w:cs="Arial"/>
          <w:color w:val="33414E"/>
          <w:sz w:val="22"/>
          <w:szCs w:val="22"/>
        </w:rPr>
      </w:pPr>
      <w:hyperlink r:id="rId15" w:history="1">
        <w:r w:rsidRPr="003E6524">
          <w:rPr>
            <w:rStyle w:val="Hyperlink"/>
            <w:rFonts w:ascii="Avenir Next" w:hAnsi="Avenir Next" w:cs="Arial"/>
            <w:color w:val="33414E"/>
            <w:sz w:val="22"/>
            <w:szCs w:val="22"/>
          </w:rPr>
          <w:t>Broadening Participation in Mathematical and Physical </w:t>
        </w:r>
        <w:r w:rsidRPr="003E6524">
          <w:rPr>
            <w:rStyle w:val="extlink-nobreak"/>
            <w:rFonts w:ascii="Avenir Next" w:hAnsi="Avenir Next" w:cs="Arial"/>
            <w:color w:val="33414E"/>
            <w:sz w:val="22"/>
            <w:szCs w:val="22"/>
          </w:rPr>
          <w:t>Sciences</w:t>
        </w:r>
      </w:hyperlink>
    </w:p>
    <w:p w14:paraId="452083C4" w14:textId="13708481" w:rsidR="002A726F" w:rsidRPr="00377C9C" w:rsidRDefault="002A726F" w:rsidP="00377C9C">
      <w:pPr>
        <w:pStyle w:val="NormalWeb"/>
        <w:shd w:val="clear" w:color="auto" w:fill="FFFFFF"/>
        <w:spacing w:before="0" w:beforeAutospacing="0"/>
        <w:rPr>
          <w:rFonts w:ascii="Avenir Next" w:hAnsi="Avenir Next"/>
          <w:color w:val="404B56"/>
          <w:sz w:val="22"/>
          <w:szCs w:val="22"/>
        </w:rPr>
      </w:pPr>
    </w:p>
    <w:sectPr w:rsidR="002A726F" w:rsidRPr="0037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51F6"/>
    <w:multiLevelType w:val="multilevel"/>
    <w:tmpl w:val="1D56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F5206"/>
    <w:multiLevelType w:val="multilevel"/>
    <w:tmpl w:val="F7A0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539A5"/>
    <w:multiLevelType w:val="multilevel"/>
    <w:tmpl w:val="44AC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A3929"/>
    <w:multiLevelType w:val="multilevel"/>
    <w:tmpl w:val="25C2E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F0CDA"/>
    <w:multiLevelType w:val="multilevel"/>
    <w:tmpl w:val="677A3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121844">
    <w:abstractNumId w:val="1"/>
  </w:num>
  <w:num w:numId="2" w16cid:durableId="886455289">
    <w:abstractNumId w:val="4"/>
  </w:num>
  <w:num w:numId="3" w16cid:durableId="1196625337">
    <w:abstractNumId w:val="2"/>
  </w:num>
  <w:num w:numId="4" w16cid:durableId="1167132114">
    <w:abstractNumId w:val="0"/>
  </w:num>
  <w:num w:numId="5" w16cid:durableId="384372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C1"/>
    <w:rsid w:val="000E79BB"/>
    <w:rsid w:val="002138EB"/>
    <w:rsid w:val="002A726F"/>
    <w:rsid w:val="00377C9C"/>
    <w:rsid w:val="003E6524"/>
    <w:rsid w:val="008B18A4"/>
    <w:rsid w:val="00A33963"/>
    <w:rsid w:val="00AD6B4E"/>
    <w:rsid w:val="00E41E86"/>
    <w:rsid w:val="00EE2AA8"/>
    <w:rsid w:val="00F5128F"/>
    <w:rsid w:val="00F55DB8"/>
    <w:rsid w:val="00FD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7B2C0"/>
  <w15:chartTrackingRefBased/>
  <w15:docId w15:val="{B1322036-D9F4-584C-860C-3A62FEAC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E6524"/>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EC1"/>
    <w:rPr>
      <w:color w:val="0563C1" w:themeColor="hyperlink"/>
      <w:u w:val="single"/>
    </w:rPr>
  </w:style>
  <w:style w:type="character" w:styleId="UnresolvedMention">
    <w:name w:val="Unresolved Mention"/>
    <w:basedOn w:val="DefaultParagraphFont"/>
    <w:uiPriority w:val="99"/>
    <w:semiHidden/>
    <w:unhideWhenUsed/>
    <w:rsid w:val="00FD1EC1"/>
    <w:rPr>
      <w:color w:val="605E5C"/>
      <w:shd w:val="clear" w:color="auto" w:fill="E1DFDD"/>
    </w:rPr>
  </w:style>
  <w:style w:type="paragraph" w:styleId="NormalWeb">
    <w:name w:val="Normal (Web)"/>
    <w:basedOn w:val="Normal"/>
    <w:uiPriority w:val="99"/>
    <w:unhideWhenUsed/>
    <w:rsid w:val="002A726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A726F"/>
    <w:rPr>
      <w:b/>
      <w:bCs/>
    </w:rPr>
  </w:style>
  <w:style w:type="paragraph" w:styleId="ListParagraph">
    <w:name w:val="List Paragraph"/>
    <w:basedOn w:val="Normal"/>
    <w:uiPriority w:val="34"/>
    <w:qFormat/>
    <w:rsid w:val="008B18A4"/>
    <w:pPr>
      <w:ind w:left="720"/>
      <w:contextualSpacing/>
    </w:pPr>
  </w:style>
  <w:style w:type="character" w:customStyle="1" w:styleId="Heading5Char">
    <w:name w:val="Heading 5 Char"/>
    <w:basedOn w:val="DefaultParagraphFont"/>
    <w:link w:val="Heading5"/>
    <w:uiPriority w:val="9"/>
    <w:rsid w:val="003E6524"/>
    <w:rPr>
      <w:rFonts w:ascii="Times New Roman" w:eastAsia="Times New Roman" w:hAnsi="Times New Roman" w:cs="Times New Roman"/>
      <w:b/>
      <w:bCs/>
      <w:kern w:val="0"/>
      <w:sz w:val="20"/>
      <w:szCs w:val="20"/>
      <w14:ligatures w14:val="none"/>
    </w:rPr>
  </w:style>
  <w:style w:type="character" w:customStyle="1" w:styleId="extlink-nobreak">
    <w:name w:val="extlink-nobreak"/>
    <w:basedOn w:val="DefaultParagraphFont"/>
    <w:rsid w:val="003E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1978">
      <w:bodyDiv w:val="1"/>
      <w:marLeft w:val="0"/>
      <w:marRight w:val="0"/>
      <w:marTop w:val="0"/>
      <w:marBottom w:val="0"/>
      <w:divBdr>
        <w:top w:val="none" w:sz="0" w:space="0" w:color="auto"/>
        <w:left w:val="none" w:sz="0" w:space="0" w:color="auto"/>
        <w:bottom w:val="none" w:sz="0" w:space="0" w:color="auto"/>
        <w:right w:val="none" w:sz="0" w:space="0" w:color="auto"/>
      </w:divBdr>
    </w:div>
    <w:div w:id="369691423">
      <w:bodyDiv w:val="1"/>
      <w:marLeft w:val="0"/>
      <w:marRight w:val="0"/>
      <w:marTop w:val="0"/>
      <w:marBottom w:val="0"/>
      <w:divBdr>
        <w:top w:val="none" w:sz="0" w:space="0" w:color="auto"/>
        <w:left w:val="none" w:sz="0" w:space="0" w:color="auto"/>
        <w:bottom w:val="none" w:sz="0" w:space="0" w:color="auto"/>
        <w:right w:val="none" w:sz="0" w:space="0" w:color="auto"/>
      </w:divBdr>
    </w:div>
    <w:div w:id="1899586853">
      <w:bodyDiv w:val="1"/>
      <w:marLeft w:val="0"/>
      <w:marRight w:val="0"/>
      <w:marTop w:val="0"/>
      <w:marBottom w:val="0"/>
      <w:divBdr>
        <w:top w:val="none" w:sz="0" w:space="0" w:color="auto"/>
        <w:left w:val="none" w:sz="0" w:space="0" w:color="auto"/>
        <w:bottom w:val="none" w:sz="0" w:space="0" w:color="auto"/>
        <w:right w:val="none" w:sz="0" w:space="0" w:color="auto"/>
      </w:divBdr>
    </w:div>
    <w:div w:id="19973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publications/pub_summ.jsp?ods_key=nsf20111" TargetMode="External"/><Relationship Id="rId13" Type="http://schemas.openxmlformats.org/officeDocument/2006/relationships/hyperlink" Target="https://bpcnet.org/" TargetMode="External"/><Relationship Id="rId3" Type="http://schemas.openxmlformats.org/officeDocument/2006/relationships/settings" Target="settings.xml"/><Relationship Id="rId7" Type="http://schemas.openxmlformats.org/officeDocument/2006/relationships/hyperlink" Target="https://www.nsf.gov/publications/pub_summ.jsp?ods_key=nsf20117" TargetMode="External"/><Relationship Id="rId12" Type="http://schemas.openxmlformats.org/officeDocument/2006/relationships/hyperlink" Target="https://www.nsf.gov/cise/bp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sf.gov/publications/pub_summ.jsp?ods_key=nsf20584&amp;org=NSF" TargetMode="External"/><Relationship Id="rId11" Type="http://schemas.openxmlformats.org/officeDocument/2006/relationships/hyperlink" Target="https://beta.nsf.gov/funding/initiatives/broadening-participation" TargetMode="External"/><Relationship Id="rId5" Type="http://schemas.openxmlformats.org/officeDocument/2006/relationships/hyperlink" Target="https://www.nsf.gov/funding/pgm_summ.jsp?pims_id=5517&amp;from=fund" TargetMode="External"/><Relationship Id="rId15" Type="http://schemas.openxmlformats.org/officeDocument/2006/relationships/hyperlink" Target="https://www.nsf.gov/mps/broadening_participation/index.jsp" TargetMode="External"/><Relationship Id="rId10" Type="http://schemas.openxmlformats.org/officeDocument/2006/relationships/hyperlink" Target="https://beta.nsf.gov/science-matters/nsf-101-five-tips-your-broader-impacts-statement" TargetMode="External"/><Relationship Id="rId4" Type="http://schemas.openxmlformats.org/officeDocument/2006/relationships/webSettings" Target="webSettings.xml"/><Relationship Id="rId9" Type="http://schemas.openxmlformats.org/officeDocument/2006/relationships/hyperlink" Target="https://beta.nsf.gov/funding/learn/broader-impacts" TargetMode="External"/><Relationship Id="rId14" Type="http://schemas.openxmlformats.org/officeDocument/2006/relationships/hyperlink" Target="https://www.nsf.gov/eng/diversity.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Duncan</dc:creator>
  <cp:keywords/>
  <dc:description/>
  <cp:lastModifiedBy>Laurel Duncan</cp:lastModifiedBy>
  <cp:revision>5</cp:revision>
  <dcterms:created xsi:type="dcterms:W3CDTF">2023-11-30T16:50:00Z</dcterms:created>
  <dcterms:modified xsi:type="dcterms:W3CDTF">2024-01-10T01:20:00Z</dcterms:modified>
</cp:coreProperties>
</file>